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2AD0EDF7" w:rsidR="00061660" w:rsidRPr="00241992" w:rsidRDefault="00241992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29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D20C7">
        <w:rPr>
          <w:rFonts w:eastAsia="Calibri"/>
          <w:b/>
          <w:kern w:val="2"/>
          <w:sz w:val="28"/>
          <w:szCs w:val="28"/>
          <w:lang w:eastAsia="ar-SA"/>
        </w:rPr>
        <w:t>10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8625B6">
        <w:rPr>
          <w:rFonts w:eastAsia="Calibri"/>
          <w:b/>
          <w:kern w:val="2"/>
          <w:sz w:val="28"/>
          <w:szCs w:val="28"/>
          <w:lang w:eastAsia="ar-SA"/>
        </w:rPr>
        <w:t>6</w:t>
      </w:r>
      <w:r w:rsidRPr="00241992">
        <w:rPr>
          <w:rFonts w:eastAsia="Calibri"/>
          <w:b/>
          <w:kern w:val="2"/>
          <w:sz w:val="28"/>
          <w:szCs w:val="28"/>
          <w:lang w:eastAsia="ar-SA"/>
        </w:rPr>
        <w:t>7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5C3AA5C8" w:rsidR="00061660" w:rsidRPr="00241992" w:rsidRDefault="00061660" w:rsidP="00061660">
      <w:pPr>
        <w:jc w:val="center"/>
        <w:rPr>
          <w:sz w:val="28"/>
          <w:szCs w:val="28"/>
          <w:lang w:eastAsia="ru-RU"/>
        </w:rPr>
      </w:pPr>
    </w:p>
    <w:p w14:paraId="06C1AD6A" w14:textId="74407C2E" w:rsidR="00241992" w:rsidRDefault="00241992" w:rsidP="00061660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</w:t>
      </w:r>
      <w:r w:rsidR="00270233">
        <w:rPr>
          <w:b/>
          <w:bCs/>
          <w:color w:val="000000"/>
          <w:kern w:val="2"/>
          <w:sz w:val="28"/>
          <w:szCs w:val="28"/>
          <w:lang w:eastAsia="en-US"/>
        </w:rPr>
        <w:t>0</w:t>
      </w:r>
    </w:p>
    <w:p w14:paraId="798C3F6C" w14:textId="4673D40A" w:rsidR="00061660" w:rsidRPr="00E51A68" w:rsidRDefault="00241992" w:rsidP="00061660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="00061660"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="00061660"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 w:rsidR="00061660"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CF43CC"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 w:rsidR="00061660"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061660"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 w:rsidR="00061660"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="00061660"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 w:rsidR="00061660">
        <w:rPr>
          <w:b/>
          <w:bCs/>
          <w:color w:val="000000"/>
          <w:kern w:val="2"/>
          <w:sz w:val="28"/>
          <w:szCs w:val="28"/>
          <w:lang w:eastAsia="en-US"/>
        </w:rPr>
        <w:t>я</w:t>
      </w:r>
      <w:r>
        <w:rPr>
          <w:b/>
          <w:bCs/>
          <w:color w:val="000000"/>
          <w:kern w:val="2"/>
          <w:sz w:val="28"/>
          <w:szCs w:val="28"/>
          <w:lang w:eastAsia="en-US"/>
        </w:rPr>
        <w:t>»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649A6A22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231D225" w14:textId="09DC13B1" w:rsidR="00061660" w:rsidRDefault="00061660" w:rsidP="00061660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69A98536" w14:textId="2611495B" w:rsidR="00241992" w:rsidRPr="00241992" w:rsidRDefault="007C4431" w:rsidP="00241992">
      <w:pPr>
        <w:shd w:val="clear" w:color="auto" w:fill="FFFFFF"/>
        <w:spacing w:after="200"/>
        <w:rPr>
          <w:rFonts w:ascii="Calibri" w:hAnsi="Calibri" w:cs="Calibri"/>
          <w:color w:val="212529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241992">
        <w:rPr>
          <w:sz w:val="28"/>
          <w:szCs w:val="28"/>
        </w:rPr>
        <w:t>.</w:t>
      </w:r>
      <w:r w:rsidR="00061660" w:rsidRPr="00241992">
        <w:rPr>
          <w:sz w:val="28"/>
          <w:szCs w:val="28"/>
        </w:rPr>
        <w:t xml:space="preserve"> </w:t>
      </w:r>
      <w:r w:rsidR="00241992" w:rsidRPr="00241992">
        <w:rPr>
          <w:bCs/>
          <w:color w:val="212529"/>
          <w:sz w:val="28"/>
          <w:szCs w:val="28"/>
          <w:lang w:eastAsia="ru-RU"/>
        </w:rPr>
        <w:t>Подраздел 2.3. «Сведения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товариществ» изложить в новой редакции.</w:t>
      </w:r>
    </w:p>
    <w:p w14:paraId="1EC5B06F" w14:textId="32FCDFC2" w:rsidR="00061660" w:rsidRPr="00425C1C" w:rsidRDefault="008625B6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2</w:t>
      </w:r>
      <w:r w:rsidR="00061660">
        <w:rPr>
          <w:spacing w:val="-2"/>
          <w:sz w:val="28"/>
          <w:szCs w:val="28"/>
        </w:rPr>
        <w:t>.</w:t>
      </w:r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</w:t>
      </w:r>
      <w:r>
        <w:rPr>
          <w:rFonts w:ascii="Times New Roman CYR" w:hAnsi="Times New Roman CYR"/>
          <w:sz w:val="28"/>
          <w:szCs w:val="20"/>
          <w:lang w:eastAsia="ru-RU"/>
        </w:rPr>
        <w:t>подписания</w:t>
      </w:r>
    </w:p>
    <w:p w14:paraId="767796B5" w14:textId="4B1418E9" w:rsidR="007C4431" w:rsidRDefault="008625B6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3</w:t>
      </w:r>
      <w:r w:rsidR="00061660">
        <w:rPr>
          <w:rFonts w:ascii="Times New Roman CYR" w:hAnsi="Times New Roman CYR"/>
          <w:sz w:val="28"/>
          <w:szCs w:val="20"/>
          <w:lang w:eastAsia="ru-RU"/>
        </w:rPr>
        <w:t>.</w:t>
      </w:r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</w:t>
      </w:r>
      <w:proofErr w:type="gramStart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>бюллетене  «</w:t>
      </w:r>
      <w:proofErr w:type="gramEnd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Официальный вестник </w:t>
      </w:r>
      <w:proofErr w:type="spellStart"/>
      <w:r w:rsidR="00CF43CC">
        <w:rPr>
          <w:rFonts w:ascii="Times New Roman CYR" w:hAnsi="Times New Roman CYR"/>
          <w:sz w:val="28"/>
          <w:szCs w:val="20"/>
          <w:lang w:eastAsia="ru-RU"/>
        </w:rPr>
        <w:t>Сушанского</w:t>
      </w:r>
      <w:proofErr w:type="spellEnd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61660"/>
    <w:rsid w:val="00241992"/>
    <w:rsid w:val="00270233"/>
    <w:rsid w:val="00286437"/>
    <w:rsid w:val="003472AE"/>
    <w:rsid w:val="003C2839"/>
    <w:rsid w:val="00691AD6"/>
    <w:rsid w:val="006D20C7"/>
    <w:rsid w:val="007C4431"/>
    <w:rsid w:val="00806F06"/>
    <w:rsid w:val="008625B6"/>
    <w:rsid w:val="00CF43CC"/>
    <w:rsid w:val="00D8079F"/>
    <w:rsid w:val="00DE5C38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2024-10-30T06:37:00Z</cp:lastPrinted>
  <dcterms:created xsi:type="dcterms:W3CDTF">2024-10-30T06:02:00Z</dcterms:created>
  <dcterms:modified xsi:type="dcterms:W3CDTF">2024-10-30T06:37:00Z</dcterms:modified>
</cp:coreProperties>
</file>